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стоимости услуг по начислению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взносов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изготовлению 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платежных документов и ведению лицевых счетов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взносо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 капитальный ремонт дома по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Павлодарская, 1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 ООО "Центр расчетов" по н</w:t>
      </w:r>
      <w:r>
        <w:rPr>
          <w:rFonts w:ascii="Times New Roman" w:hAnsi="Times New Roman" w:cs="Times New Roman"/>
          <w:sz w:val="28"/>
          <w:szCs w:val="28"/>
        </w:rPr>
        <w:t xml:space="preserve">ачислени</w:t>
      </w:r>
      <w:r>
        <w:rPr>
          <w:rFonts w:ascii="Times New Roman" w:hAnsi="Times New Roman" w:cs="Times New Roman"/>
          <w:sz w:val="28"/>
          <w:szCs w:val="28"/>
        </w:rPr>
        <w:t xml:space="preserve">ю взносов</w:t>
      </w:r>
      <w:r>
        <w:rPr>
          <w:rFonts w:ascii="Times New Roman" w:hAnsi="Times New Roman" w:cs="Times New Roman"/>
          <w:sz w:val="28"/>
          <w:szCs w:val="28"/>
        </w:rPr>
        <w:t xml:space="preserve">, изготовлени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ведению лицевых счетов по оплате взносов на капитальный ремонт установлена прейскурантом для группы компаний "Территория".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этому прейскуранту стоимость услуг при количестве лицевых счетов до 100 равна 2000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руб., при количестве свыше 100 - за каждый дополнительный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лицевой счет, начиная со 101 по 300 - по 15.00 руб.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 лицевых счетов </w:t>
      </w:r>
      <w:r>
        <w:rPr>
          <w:rFonts w:ascii="Times New Roman" w:hAnsi="Times New Roman" w:cs="Times New Roman"/>
          <w:sz w:val="28"/>
          <w:szCs w:val="28"/>
        </w:rPr>
        <w:t xml:space="preserve">229</w:t>
      </w:r>
      <w:r>
        <w:rPr>
          <w:rFonts w:ascii="Times New Roman" w:hAnsi="Times New Roman" w:cs="Times New Roman"/>
          <w:sz w:val="28"/>
          <w:szCs w:val="28"/>
        </w:rPr>
        <w:t xml:space="preserve"> для МКД по ул. </w:t>
      </w:r>
      <w:r>
        <w:rPr>
          <w:rFonts w:ascii="Times New Roman" w:hAnsi="Times New Roman" w:cs="Times New Roman"/>
          <w:sz w:val="28"/>
          <w:szCs w:val="28"/>
        </w:rPr>
        <w:t xml:space="preserve">Павлодарская,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стоимость услуг по данному прейскуранту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935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действий, производимых ООО "Центр расчетов" и бухгалтерией управляющей компании при оказании услуг, приведен в Приложении к настоящему Обоснованию. Зат</w:t>
      </w:r>
      <w:r>
        <w:rPr>
          <w:rFonts w:ascii="Times New Roman" w:hAnsi="Times New Roman" w:cs="Times New Roman"/>
          <w:sz w:val="28"/>
          <w:szCs w:val="28"/>
        </w:rPr>
        <w:t xml:space="preserve">раты на оказание услуг включают в себя фонд оплаты труда специалистов, затраты на программное обеспечение, амортизацию вычислительной и копировальной техники, расходные материалы, содержание помещений, юридическое сопровождение и прочие накладные расходы. </w:t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коммерческому предложению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Перечень действий</w:t>
      </w:r>
      <w:r/>
    </w:p>
    <w:p>
      <w:pPr>
        <w:pStyle w:val="602"/>
        <w:ind w:firstLine="540"/>
        <w:jc w:val="center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 ведению лицевых счетов, расчету и начислению взносов на капитальный ремонт для собственников помещений, ведению бухгалтерского учета в целях формирования фонда капитального ремонта на специальном счете </w:t>
      </w:r>
      <w:r/>
    </w:p>
    <w:p>
      <w:pPr>
        <w:pStyle w:val="602"/>
        <w:ind w:firstLine="540"/>
        <w:jc w:val="both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  <w:r/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674"/>
        <w:gridCol w:w="10"/>
        <w:gridCol w:w="5891"/>
        <w:gridCol w:w="3303"/>
        <w:gridCol w:w="6"/>
      </w:tblGrid>
      <w:tr>
        <w:trPr>
          <w:gridAfter w:val="1"/>
          <w:trHeight w:val="529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Наименование  работ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Периодичность выполнения</w:t>
            </w:r>
            <w:r/>
          </w:p>
        </w:tc>
      </w:tr>
      <w:tr>
        <w:trPr>
          <w:gridAfter w:val="1"/>
          <w:trHeight w:val="316"/>
        </w:trPr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65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Ведение лицевых счетов собственников и пользователей  помещений</w:t>
            </w:r>
            <w:r/>
          </w:p>
        </w:tc>
      </w:tr>
      <w:tr>
        <w:trPr>
          <w:gridAfter w:val="1"/>
          <w:trHeight w:val="33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в программе по начислению платежей отдельных лицевых счетов собственников и пользователей помещений для учета оплаты взносов на капитальный ремонт помещений в объекте, содержащих следующие сведения:  </w:t>
            </w:r>
            <w:r/>
          </w:p>
          <w:p>
            <w:pPr>
              <w:pStyle w:val="6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адрес помещения; </w:t>
            </w:r>
            <w:r/>
          </w:p>
          <w:p>
            <w:pPr>
              <w:pStyle w:val="6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площадь помещения; </w:t>
            </w:r>
            <w:r/>
          </w:p>
          <w:p>
            <w:pPr>
              <w:pStyle w:val="6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Ф.И.О. или наименование собственника, пользователя; </w:t>
            </w:r>
            <w:r/>
          </w:p>
          <w:p>
            <w:pPr>
              <w:pStyle w:val="6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другие сведения, необходимые для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ведения лицевых счетов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 предоставлении Заказчиком информации после подписания настоящего договора, но не позднее 20 числа первого расчетного месяца</w:t>
            </w:r>
            <w:r/>
          </w:p>
        </w:tc>
      </w:tr>
      <w:tr>
        <w:trPr>
          <w:gridAfter w:val="1"/>
          <w:trHeight w:val="33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Своевременное внесение изменений в сведения, указанные в п. 1.1 настоящего Перечня на основании служебных записок</w:t>
            </w:r>
            <w:r>
              <w:rPr>
                <w:rFonts w:ascii="Times New Roman" w:hAnsi="Times New Roman" w:cs="Times New Roman"/>
              </w:rPr>
              <w:t xml:space="preserve">, подписанных уполномоченным  лицом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 до 20 числа расчетного месяца</w:t>
            </w:r>
            <w:r/>
          </w:p>
        </w:tc>
      </w:tr>
      <w:tr>
        <w:trPr>
          <w:gridAfter w:val="1"/>
          <w:trHeight w:val="331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Учет расчетов с собственниками и нанимателями помещений, т.е. отражение на лицевом счете начисленных взносов, зачисление на соответствующий лицевой счет </w:t>
            </w:r>
            <w:r>
              <w:rPr>
                <w:rFonts w:ascii="Times New Roman" w:hAnsi="Times New Roman" w:cs="Times New Roman"/>
              </w:rPr>
              <w:t xml:space="preserve">поступивших взносов и расчет задолженности. Выдача по заявлению собственников и пользователей помещений расшифровок сумм  задолженности по взносам на капитальный ремонт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постоянно, в сроки, установленные действующим законодательством</w:t>
            </w:r>
            <w:r/>
          </w:p>
        </w:tc>
      </w:tr>
      <w:tr>
        <w:trPr>
          <w:gridAfter w:val="1"/>
          <w:trHeight w:val="316"/>
        </w:trPr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65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Начисление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и учет оплаты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взносов на капитальный ремонт </w:t>
            </w:r>
            <w:r/>
          </w:p>
        </w:tc>
      </w:tr>
      <w:tr>
        <w:trPr>
          <w:gridAfter w:val="1"/>
          <w:trHeight w:val="64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Обработка первичных документов, касающихся изменений, вносимых в данные лицевых счетов, необходимых для начисления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взносов на капитальный ремонт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 20 числа расчетного месяца</w:t>
            </w:r>
            <w:r/>
          </w:p>
        </w:tc>
      </w:tr>
      <w:tr>
        <w:trPr>
          <w:gridAfter w:val="1"/>
          <w:trHeight w:val="661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Начисление (перерасчет)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взносов на капитальный ремонт</w:t>
            </w:r>
            <w:r>
              <w:rPr>
                <w:rFonts w:ascii="Times New Roman" w:hAnsi="Times New Roman" w:cs="Times New Roman"/>
                <w:iCs/>
              </w:rPr>
              <w:t xml:space="preserve"> в соответствии с первичными  документами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 20 числа расчетного месяца по 4 число месяца, следующего за расчетным</w:t>
            </w:r>
            <w:r/>
          </w:p>
        </w:tc>
      </w:tr>
      <w:tr>
        <w:trPr>
          <w:gridAfter w:val="1"/>
          <w:trHeight w:val="50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Печать платежных документов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 5 число месяца, следующего за расчетным</w:t>
            </w:r>
            <w:r/>
          </w:p>
        </w:tc>
      </w:tr>
      <w:tr>
        <w:trPr>
          <w:gridAfter w:val="1"/>
          <w:trHeight w:val="603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Экспорт предоставленных платежными операторами </w:t>
            </w:r>
            <w:r>
              <w:rPr>
                <w:rFonts w:ascii="Times New Roman" w:hAnsi="Times New Roman" w:cs="Times New Roman"/>
                <w:iCs/>
              </w:rPr>
              <w:t xml:space="preserve">(банками) </w:t>
            </w:r>
            <w:r>
              <w:rPr>
                <w:rFonts w:ascii="Times New Roman" w:hAnsi="Times New Roman" w:cs="Times New Roman"/>
                <w:iCs/>
              </w:rPr>
              <w:t xml:space="preserve">реестров принятых платежей в программу по начислению платежей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ежедневно</w:t>
            </w:r>
            <w:r/>
          </w:p>
        </w:tc>
      </w:tr>
      <w:tr>
        <w:trPr>
          <w:gridAfter w:val="1"/>
          <w:trHeight w:val="481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Обработка первичных документов по платежам, поступившим в виде отдельных платежных поручений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ежедневно</w:t>
            </w:r>
            <w:r/>
          </w:p>
        </w:tc>
      </w:tr>
      <w:tr>
        <w:trPr>
          <w:gridAfter w:val="1"/>
          <w:trHeight w:val="275"/>
        </w:trPr>
        <w:tc>
          <w:tcPr>
            <w:gridSpan w:val="2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65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сбора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денежных средств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фонд капитального ремонта </w:t>
            </w:r>
            <w:r/>
          </w:p>
        </w:tc>
      </w:tr>
      <w:tr>
        <w:trPr>
          <w:gridAfter w:val="1"/>
          <w:trHeight w:val="79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3.</w:t>
            </w:r>
            <w:r>
              <w:rPr>
                <w:rFonts w:ascii="Times New Roman" w:hAnsi="Times New Roman" w:cs="Times New Roman"/>
                <w:iCs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заключени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договоров на прием платежей от населения с кредитными организациями и платежными агентами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мере необходимости</w:t>
            </w:r>
            <w:r/>
          </w:p>
        </w:tc>
      </w:tr>
      <w:tr>
        <w:trPr>
          <w:gridAfter w:val="1"/>
          <w:trHeight w:val="419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</w:t>
            </w: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подготовке документов для открытия и закрытия банковских счетов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необходимости</w:t>
            </w:r>
            <w:r/>
          </w:p>
        </w:tc>
      </w:tr>
      <w:tr>
        <w:trPr>
          <w:trHeight w:val="67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" w:type="pct"/>
            <w:textDirection w:val="lrTb"/>
            <w:noWrap w:val="false"/>
          </w:tcPr>
          <w:p>
            <w:pPr>
              <w:ind w:left="-142" w:right="-108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3.3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Оперативное взаимодействие с представителями платежных агентов, контроль за своевременностью и полнотой поступления от них </w:t>
            </w:r>
            <w:r>
              <w:rPr>
                <w:rFonts w:ascii="Times New Roman" w:hAnsi="Times New Roman" w:cs="Times New Roman"/>
              </w:rPr>
              <w:t xml:space="preserve">информации об оплате взносов и перечислении на специальный счет </w:t>
            </w:r>
            <w:r>
              <w:rPr>
                <w:rFonts w:ascii="Times New Roman" w:hAnsi="Times New Roman" w:cs="Times New Roman"/>
              </w:rPr>
              <w:t xml:space="preserve">собранных денежных средств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постоянно</w:t>
            </w:r>
            <w:r/>
          </w:p>
        </w:tc>
      </w:tr>
      <w:tr>
        <w:trPr>
          <w:gridAfter w:val="1"/>
          <w:trHeight w:val="213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и предоставление отчетов </w:t>
            </w:r>
            <w:r/>
          </w:p>
        </w:tc>
      </w:tr>
      <w:tr>
        <w:trPr>
          <w:gridAfter w:val="1"/>
          <w:trHeight w:val="393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в соответствии с требованиями действующего законодательства отчетов перед ДГЖИ о начислении и сборе взносов на капитальный ремонт и о задолженности по оплате взносов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gridAfter w:val="1"/>
          <w:trHeight w:val="84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по запросам</w:t>
            </w:r>
            <w:r>
              <w:rPr>
                <w:rFonts w:ascii="Times New Roman" w:hAnsi="Times New Roman" w:cs="Times New Roman"/>
              </w:rPr>
              <w:t xml:space="preserve"> контролирующи</w:t>
            </w:r>
            <w:r>
              <w:rPr>
                <w:rFonts w:ascii="Times New Roman" w:hAnsi="Times New Roman" w:cs="Times New Roman"/>
              </w:rPr>
              <w:t xml:space="preserve">х</w:t>
            </w:r>
            <w:r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 и организаци</w:t>
            </w:r>
            <w:r>
              <w:rPr>
                <w:rFonts w:ascii="Times New Roman" w:hAnsi="Times New Roman" w:cs="Times New Roman"/>
              </w:rPr>
              <w:t xml:space="preserve">й</w:t>
            </w:r>
            <w:r>
              <w:rPr>
                <w:rFonts w:ascii="Times New Roman" w:hAnsi="Times New Roman" w:cs="Times New Roman"/>
              </w:rPr>
              <w:t xml:space="preserve"> в порядке, установленном действующим законодательством, сведений о поступлении взносов на капитальный ремонт от собственников помещений, о </w:t>
            </w:r>
            <w:r>
              <w:rPr>
                <w:rFonts w:ascii="Times New Roman" w:hAnsi="Times New Roman" w:cs="Times New Roman"/>
              </w:rPr>
              <w:t xml:space="preserve">порядке начисления взносов, размере задолженности и д</w:t>
            </w:r>
            <w:r>
              <w:rPr>
                <w:rFonts w:ascii="Times New Roman" w:hAnsi="Times New Roman" w:cs="Times New Roman"/>
              </w:rPr>
              <w:t xml:space="preserve">ругих сведений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установленные действующим законодательством сроки</w:t>
            </w:r>
            <w:r/>
          </w:p>
        </w:tc>
      </w:tr>
      <w:tr>
        <w:trPr>
          <w:gridAfter w:val="1"/>
          <w:trHeight w:val="23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5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Предоставление информации, консультирование</w:t>
            </w:r>
            <w:r>
              <w:rPr>
                <w:rFonts w:ascii="Times New Roman" w:hAnsi="Times New Roman" w:cs="Times New Roman"/>
                <w:b/>
              </w:rPr>
              <w:t xml:space="preserve"> собственников помещений</w:t>
            </w:r>
            <w:r/>
          </w:p>
        </w:tc>
      </w:tr>
      <w:tr>
        <w:trPr>
          <w:gridAfter w:val="1"/>
          <w:trHeight w:val="45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</w:rPr>
              <w:t xml:space="preserve">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iCs/>
              </w:rPr>
              <w:t xml:space="preserve">управляющей организации</w:t>
            </w:r>
            <w:r>
              <w:rPr>
                <w:rFonts w:ascii="Times New Roman" w:hAnsi="Times New Roman" w:cs="Times New Roman"/>
                <w:iCs/>
              </w:rPr>
              <w:t xml:space="preserve"> информации о величине дебиторской задолженности по взносам (в электронном виде)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ежемесячно  20 числа</w:t>
            </w:r>
            <w:r/>
          </w:p>
        </w:tc>
      </w:tr>
      <w:tr>
        <w:trPr>
          <w:gridAfter w:val="1"/>
          <w:trHeight w:val="407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</w:rPr>
              <w:t xml:space="preserve">.2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данных для формирования годового отчета перед собственниками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мере необходимости, но не реже 1 раза в год</w:t>
            </w:r>
            <w:r/>
          </w:p>
        </w:tc>
      </w:tr>
      <w:tr>
        <w:trPr>
          <w:gridAfter w:val="1"/>
          <w:trHeight w:val="4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Консультирование собственников помещений по вопросам начисления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взносов на капитальный ремонт</w:t>
            </w:r>
            <w:r>
              <w:rPr>
                <w:rFonts w:ascii="Times New Roman" w:hAnsi="Times New Roman" w:cs="Times New Roman"/>
                <w:iCs/>
              </w:rPr>
              <w:t xml:space="preserve"> (телефонные переговоры, личный прием, ответы на письменные обращения, в т.ч. на сайт</w:t>
            </w:r>
            <w:r>
              <w:rPr>
                <w:rFonts w:ascii="Times New Roman" w:hAnsi="Times New Roman" w:cs="Times New Roman"/>
                <w:iCs/>
              </w:rPr>
              <w:t xml:space="preserve"> и в ГИС ЖКХ</w:t>
            </w:r>
            <w:r>
              <w:rPr>
                <w:rFonts w:ascii="Times New Roman" w:hAnsi="Times New Roman" w:cs="Times New Roman"/>
                <w:iCs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ежедневно</w:t>
            </w:r>
            <w:r/>
          </w:p>
        </w:tc>
      </w:tr>
      <w:tr>
        <w:trPr>
          <w:gridAfter w:val="1"/>
          <w:trHeight w:val="4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Взаимодействие ООО "Центр расчетов" с Комитетом социальной политики по вопросу возмещения платы по капитальному ремонту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gridAfter w:val="1"/>
          <w:trHeight w:val="4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</w:rPr>
              <w:t xml:space="preserve">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Передача сведений о размере начисленной платы и отсутствия</w:t>
            </w:r>
            <w:r>
              <w:rPr>
                <w:rFonts w:ascii="Times New Roman" w:hAnsi="Times New Roman" w:cs="Times New Roman"/>
                <w:iCs/>
              </w:rPr>
              <w:t xml:space="preserve"> или </w:t>
            </w:r>
            <w:r>
              <w:rPr>
                <w:rFonts w:ascii="Times New Roman" w:hAnsi="Times New Roman" w:cs="Times New Roman"/>
                <w:iCs/>
              </w:rPr>
              <w:t xml:space="preserve">наличии задолженности </w:t>
            </w:r>
            <w:r>
              <w:rPr>
                <w:rFonts w:ascii="Times New Roman" w:hAnsi="Times New Roman" w:cs="Times New Roman"/>
                <w:iCs/>
              </w:rPr>
              <w:t xml:space="preserve">по взносам на</w:t>
            </w:r>
            <w:r>
              <w:rPr>
                <w:rFonts w:ascii="Times New Roman" w:hAnsi="Times New Roman" w:cs="Times New Roman"/>
                <w:iCs/>
              </w:rPr>
              <w:t xml:space="preserve"> капитальный ремонт </w:t>
            </w:r>
            <w:r>
              <w:rPr>
                <w:rFonts w:ascii="Times New Roman" w:hAnsi="Times New Roman" w:cs="Times New Roman"/>
                <w:iCs/>
              </w:rPr>
              <w:t xml:space="preserve">в УЖКХ Администрации </w:t>
            </w:r>
            <w:r>
              <w:rPr>
                <w:rFonts w:ascii="Times New Roman" w:hAnsi="Times New Roman" w:cs="Times New Roman"/>
                <w:iCs/>
              </w:rPr>
              <w:t xml:space="preserve">г. Екатеринбурга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  <w:r/>
          </w:p>
        </w:tc>
      </w:tr>
      <w:tr>
        <w:trPr>
          <w:gridAfter w:val="1"/>
          <w:trHeight w:val="41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</w:rPr>
              <w:t xml:space="preserve">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0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целях предоставления льгот и </w:t>
            </w:r>
            <w:r>
              <w:rPr>
                <w:rFonts w:ascii="Times New Roman" w:hAnsi="Times New Roman" w:cs="Times New Roman"/>
                <w:iCs/>
              </w:rPr>
              <w:t xml:space="preserve"> компенсаций расходов на оплату капитального ремонта пр</w:t>
            </w:r>
            <w:r>
              <w:rPr>
                <w:rFonts w:ascii="Times New Roman" w:hAnsi="Times New Roman" w:cs="Times New Roman"/>
                <w:iCs/>
              </w:rPr>
              <w:t xml:space="preserve">едоставление в</w:t>
            </w:r>
            <w:r>
              <w:rPr>
                <w:rFonts w:ascii="Times New Roman" w:hAnsi="Times New Roman" w:cs="Times New Roman"/>
                <w:iCs/>
              </w:rPr>
              <w:t xml:space="preserve"> Комитет социальной политики Администрации г. Екатеринбурга данных</w:t>
            </w:r>
            <w:r>
              <w:rPr>
                <w:rFonts w:ascii="Times New Roman" w:hAnsi="Times New Roman" w:cs="Times New Roman"/>
                <w:iCs/>
              </w:rPr>
              <w:t xml:space="preserve"> о начислении и оплате взносов и задолженности отдельных категорий собственников помещений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Ежемесячно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993" w:right="720" w:bottom="720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603" w:customStyle="1">
    <w:name w:val="Обычный1"/>
    <w:pPr>
      <w:spacing w:after="0" w:line="240" w:lineRule="auto"/>
    </w:pPr>
    <w:rPr>
      <w:rFonts w:ascii="Arial" w:hAnsi="Arial" w:cs="Times New Roman" w:eastAsia="Times New Roman"/>
      <w:sz w:val="1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sanzhanov</dc:creator>
  <cp:lastModifiedBy>Глухих Алёна Сергеевна</cp:lastModifiedBy>
  <cp:revision>5</cp:revision>
  <dcterms:created xsi:type="dcterms:W3CDTF">2020-03-23T14:10:00Z</dcterms:created>
  <dcterms:modified xsi:type="dcterms:W3CDTF">2022-08-24T11:20:07Z</dcterms:modified>
</cp:coreProperties>
</file>